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1025" w14:textId="7E272439" w:rsidR="00E02E58" w:rsidRPr="002666F8" w:rsidRDefault="002666F8" w:rsidP="002666F8">
      <w:pPr>
        <w:jc w:val="both"/>
        <w:rPr>
          <w:b/>
          <w:bCs/>
          <w:sz w:val="24"/>
          <w:szCs w:val="24"/>
        </w:rPr>
      </w:pPr>
      <w:r w:rsidRPr="002666F8">
        <w:rPr>
          <w:b/>
          <w:bCs/>
          <w:sz w:val="24"/>
          <w:szCs w:val="24"/>
        </w:rPr>
        <w:t xml:space="preserve">What is a </w:t>
      </w:r>
      <w:r w:rsidR="00E02E58" w:rsidRPr="002666F8">
        <w:rPr>
          <w:b/>
          <w:bCs/>
          <w:sz w:val="24"/>
          <w:szCs w:val="24"/>
        </w:rPr>
        <w:t>Fitness for Duty</w:t>
      </w:r>
      <w:r w:rsidRPr="002666F8">
        <w:rPr>
          <w:b/>
          <w:bCs/>
          <w:sz w:val="24"/>
          <w:szCs w:val="24"/>
        </w:rPr>
        <w:t xml:space="preserve"> Examination </w:t>
      </w:r>
      <w:r w:rsidR="00E02E58" w:rsidRPr="002666F8">
        <w:rPr>
          <w:b/>
          <w:bCs/>
          <w:sz w:val="24"/>
          <w:szCs w:val="24"/>
        </w:rPr>
        <w:t xml:space="preserve"> </w:t>
      </w:r>
    </w:p>
    <w:p w14:paraId="22039537" w14:textId="6FC83863" w:rsidR="00E02E58" w:rsidRPr="002666F8" w:rsidRDefault="00E02E58" w:rsidP="002666F8">
      <w:pPr>
        <w:jc w:val="both"/>
        <w:rPr>
          <w:sz w:val="24"/>
          <w:szCs w:val="24"/>
        </w:rPr>
      </w:pPr>
      <w:r w:rsidRPr="002666F8">
        <w:rPr>
          <w:sz w:val="24"/>
          <w:szCs w:val="24"/>
        </w:rPr>
        <w:t xml:space="preserve">The Americans with Disabilities Act (ADA) permits fitness for duty examinations of employees only if they are job related and consistent with business necessity.   Objective evidence is needed to make this </w:t>
      </w:r>
      <w:r w:rsidR="002666F8" w:rsidRPr="002666F8">
        <w:rPr>
          <w:sz w:val="24"/>
          <w:szCs w:val="24"/>
        </w:rPr>
        <w:t>show</w:t>
      </w:r>
      <w:r w:rsidRPr="002666F8">
        <w:rPr>
          <w:sz w:val="24"/>
          <w:szCs w:val="24"/>
        </w:rPr>
        <w:t xml:space="preserve">.  Here is an explainer of when such exams are allowed, including examples of what might constitute objective evidence.   </w:t>
      </w:r>
    </w:p>
    <w:p w14:paraId="629E6CC3" w14:textId="18484D7B" w:rsidR="00E02E58" w:rsidRPr="002666F8" w:rsidRDefault="00E02E58" w:rsidP="002666F8">
      <w:pPr>
        <w:jc w:val="both"/>
        <w:rPr>
          <w:sz w:val="24"/>
          <w:szCs w:val="24"/>
        </w:rPr>
      </w:pPr>
      <w:r w:rsidRPr="002666F8">
        <w:rPr>
          <w:sz w:val="24"/>
          <w:szCs w:val="24"/>
        </w:rPr>
        <w:t xml:space="preserve">A fitness for duty examination is a medical exam to determine whether a current employee is physically or mentally capable of performing their job duties.  </w:t>
      </w:r>
    </w:p>
    <w:p w14:paraId="7BDD451A" w14:textId="6C6C6BBF" w:rsidR="00E02E58" w:rsidRPr="002666F8" w:rsidRDefault="00E02E58" w:rsidP="002666F8">
      <w:pPr>
        <w:jc w:val="both"/>
        <w:rPr>
          <w:sz w:val="24"/>
          <w:szCs w:val="24"/>
        </w:rPr>
      </w:pPr>
      <w:r w:rsidRPr="002666F8">
        <w:rPr>
          <w:sz w:val="24"/>
          <w:szCs w:val="24"/>
        </w:rPr>
        <w:t xml:space="preserve">To require a fitness for duty examination, an employer must have a reasonable belief based on objective evidence, not assumptions or stereotypes, that an employee’s ability to perform essential job functions will be impaired by a medical condition or the employee will pose a direct threat due to a medical condition.  </w:t>
      </w:r>
    </w:p>
    <w:p w14:paraId="4F3590A4" w14:textId="4AB411ED" w:rsidR="00E02E58" w:rsidRPr="002666F8" w:rsidRDefault="00E02E58" w:rsidP="002666F8">
      <w:pPr>
        <w:jc w:val="both"/>
        <w:rPr>
          <w:sz w:val="24"/>
          <w:szCs w:val="24"/>
        </w:rPr>
      </w:pPr>
      <w:r w:rsidRPr="002666F8">
        <w:rPr>
          <w:sz w:val="24"/>
          <w:szCs w:val="24"/>
        </w:rPr>
        <w:t xml:space="preserve">For example, a crane operator becomes light-headed, out of breath and </w:t>
      </w:r>
      <w:r w:rsidR="002666F8" w:rsidRPr="002666F8">
        <w:rPr>
          <w:sz w:val="24"/>
          <w:szCs w:val="24"/>
        </w:rPr>
        <w:t>must</w:t>
      </w:r>
      <w:r w:rsidRPr="002666F8">
        <w:rPr>
          <w:sz w:val="24"/>
          <w:szCs w:val="24"/>
        </w:rPr>
        <w:t xml:space="preserve"> sit down abruptly.  The employer might have a reasonable belief, based on objective evidence, that this worker will pose a direct threat while working on the construction site, and therefore may </w:t>
      </w:r>
      <w:r w:rsidR="002666F8" w:rsidRPr="002666F8">
        <w:rPr>
          <w:sz w:val="24"/>
          <w:szCs w:val="24"/>
        </w:rPr>
        <w:t>require</w:t>
      </w:r>
      <w:r w:rsidRPr="002666F8">
        <w:rPr>
          <w:sz w:val="24"/>
          <w:szCs w:val="24"/>
        </w:rPr>
        <w:t xml:space="preserve"> the employee to undergo a medical examination to determine if these symptoms make the worker unfit to perform the job.   </w:t>
      </w:r>
    </w:p>
    <w:p w14:paraId="77C97077" w14:textId="5F57F4B0" w:rsidR="00E02E58" w:rsidRPr="002666F8" w:rsidRDefault="00E02E58" w:rsidP="002666F8">
      <w:pPr>
        <w:jc w:val="both"/>
        <w:rPr>
          <w:sz w:val="24"/>
          <w:szCs w:val="24"/>
        </w:rPr>
      </w:pPr>
      <w:r w:rsidRPr="002666F8">
        <w:rPr>
          <w:sz w:val="24"/>
          <w:szCs w:val="24"/>
        </w:rPr>
        <w:t xml:space="preserve">Leave and as a last resort, reassignment to an open position for which the employee is qualified must be considered as reasonable accommodations if the workers </w:t>
      </w:r>
      <w:r w:rsidR="002666F8" w:rsidRPr="002666F8">
        <w:rPr>
          <w:sz w:val="24"/>
          <w:szCs w:val="24"/>
        </w:rPr>
        <w:t>have</w:t>
      </w:r>
      <w:r w:rsidRPr="002666F8">
        <w:rPr>
          <w:sz w:val="24"/>
          <w:szCs w:val="24"/>
        </w:rPr>
        <w:t xml:space="preserve"> a covered </w:t>
      </w:r>
      <w:r w:rsidR="002666F8" w:rsidRPr="002666F8">
        <w:rPr>
          <w:sz w:val="24"/>
          <w:szCs w:val="24"/>
        </w:rPr>
        <w:t>ADA</w:t>
      </w:r>
      <w:r w:rsidRPr="002666F8">
        <w:rPr>
          <w:sz w:val="24"/>
          <w:szCs w:val="24"/>
        </w:rPr>
        <w:t xml:space="preserve"> disability and accommodation in the current position </w:t>
      </w:r>
      <w:r w:rsidR="002666F8" w:rsidRPr="002666F8">
        <w:rPr>
          <w:sz w:val="24"/>
          <w:szCs w:val="24"/>
        </w:rPr>
        <w:t>is not</w:t>
      </w:r>
      <w:r w:rsidRPr="002666F8">
        <w:rPr>
          <w:sz w:val="24"/>
          <w:szCs w:val="24"/>
        </w:rPr>
        <w:t xml:space="preserve"> reasonably possible.  </w:t>
      </w:r>
    </w:p>
    <w:p w14:paraId="210CFAB7" w14:textId="77777777" w:rsidR="002666F8" w:rsidRDefault="00E02E58" w:rsidP="002666F8">
      <w:pPr>
        <w:jc w:val="both"/>
        <w:rPr>
          <w:sz w:val="24"/>
          <w:szCs w:val="24"/>
        </w:rPr>
      </w:pPr>
      <w:r w:rsidRPr="002666F8">
        <w:rPr>
          <w:sz w:val="24"/>
          <w:szCs w:val="24"/>
        </w:rPr>
        <w:t xml:space="preserve">All examinations must be </w:t>
      </w:r>
      <w:r w:rsidR="002666F8" w:rsidRPr="002666F8">
        <w:rPr>
          <w:sz w:val="24"/>
          <w:szCs w:val="24"/>
        </w:rPr>
        <w:t>consistent</w:t>
      </w:r>
      <w:r w:rsidRPr="002666F8">
        <w:rPr>
          <w:sz w:val="24"/>
          <w:szCs w:val="24"/>
        </w:rPr>
        <w:t xml:space="preserve"> with business necessity and job-related. </w:t>
      </w:r>
    </w:p>
    <w:p w14:paraId="2D3FE127" w14:textId="77777777" w:rsidR="0077789F" w:rsidRDefault="0077789F" w:rsidP="002666F8">
      <w:pPr>
        <w:jc w:val="both"/>
        <w:rPr>
          <w:sz w:val="24"/>
          <w:szCs w:val="24"/>
        </w:rPr>
      </w:pPr>
    </w:p>
    <w:p w14:paraId="42EDBAEA" w14:textId="77777777" w:rsidR="0077789F" w:rsidRDefault="0077789F" w:rsidP="002666F8">
      <w:pPr>
        <w:jc w:val="both"/>
        <w:rPr>
          <w:sz w:val="24"/>
          <w:szCs w:val="24"/>
        </w:rPr>
      </w:pPr>
    </w:p>
    <w:p w14:paraId="6A3F658D" w14:textId="77777777" w:rsidR="0077789F" w:rsidRDefault="0077789F" w:rsidP="002666F8">
      <w:pPr>
        <w:jc w:val="both"/>
        <w:rPr>
          <w:sz w:val="24"/>
          <w:szCs w:val="24"/>
        </w:rPr>
      </w:pPr>
    </w:p>
    <w:p w14:paraId="16934CE4" w14:textId="77777777" w:rsidR="0077789F" w:rsidRDefault="0077789F" w:rsidP="002666F8">
      <w:pPr>
        <w:jc w:val="both"/>
        <w:rPr>
          <w:sz w:val="24"/>
          <w:szCs w:val="24"/>
        </w:rPr>
      </w:pPr>
    </w:p>
    <w:p w14:paraId="1FC41242" w14:textId="77777777" w:rsidR="0077789F" w:rsidRDefault="0077789F" w:rsidP="002666F8">
      <w:pPr>
        <w:jc w:val="both"/>
        <w:rPr>
          <w:sz w:val="24"/>
          <w:szCs w:val="24"/>
        </w:rPr>
      </w:pPr>
    </w:p>
    <w:p w14:paraId="6CB1540B" w14:textId="77777777" w:rsidR="0077789F" w:rsidRDefault="0077789F" w:rsidP="002666F8">
      <w:pPr>
        <w:jc w:val="both"/>
        <w:rPr>
          <w:sz w:val="24"/>
          <w:szCs w:val="24"/>
        </w:rPr>
      </w:pPr>
    </w:p>
    <w:p w14:paraId="0869ADCD" w14:textId="77777777" w:rsidR="0077789F" w:rsidRDefault="0077789F" w:rsidP="002666F8">
      <w:pPr>
        <w:jc w:val="both"/>
        <w:rPr>
          <w:sz w:val="24"/>
          <w:szCs w:val="24"/>
        </w:rPr>
      </w:pPr>
    </w:p>
    <w:p w14:paraId="1E2094BD" w14:textId="77777777" w:rsidR="0077789F" w:rsidRDefault="0077789F" w:rsidP="002666F8">
      <w:pPr>
        <w:jc w:val="both"/>
        <w:rPr>
          <w:sz w:val="24"/>
          <w:szCs w:val="24"/>
        </w:rPr>
      </w:pPr>
    </w:p>
    <w:p w14:paraId="307ED4D8" w14:textId="77777777" w:rsidR="0077789F" w:rsidRDefault="0077789F" w:rsidP="002666F8">
      <w:pPr>
        <w:jc w:val="both"/>
        <w:rPr>
          <w:sz w:val="24"/>
          <w:szCs w:val="24"/>
        </w:rPr>
      </w:pPr>
    </w:p>
    <w:p w14:paraId="1319926F" w14:textId="77777777" w:rsidR="0077789F" w:rsidRDefault="0077789F" w:rsidP="002666F8">
      <w:pPr>
        <w:jc w:val="both"/>
        <w:rPr>
          <w:sz w:val="24"/>
          <w:szCs w:val="24"/>
        </w:rPr>
      </w:pPr>
    </w:p>
    <w:p w14:paraId="1F79D430" w14:textId="77777777" w:rsidR="0077789F" w:rsidRDefault="0077789F" w:rsidP="002666F8">
      <w:pPr>
        <w:jc w:val="both"/>
        <w:rPr>
          <w:sz w:val="24"/>
          <w:szCs w:val="24"/>
        </w:rPr>
      </w:pPr>
    </w:p>
    <w:p w14:paraId="3AE5B9BD" w14:textId="77777777" w:rsidR="0077789F" w:rsidRDefault="0077789F" w:rsidP="002666F8">
      <w:pPr>
        <w:jc w:val="both"/>
        <w:rPr>
          <w:sz w:val="24"/>
          <w:szCs w:val="24"/>
        </w:rPr>
      </w:pPr>
    </w:p>
    <w:p w14:paraId="7414A2BB" w14:textId="1F1E1982" w:rsidR="0077789F" w:rsidRDefault="0077789F" w:rsidP="0077789F">
      <w:pPr>
        <w:jc w:val="both"/>
        <w:rPr>
          <w:sz w:val="24"/>
          <w:szCs w:val="24"/>
        </w:rPr>
      </w:pPr>
      <w:r>
        <w:rPr>
          <w:sz w:val="24"/>
          <w:szCs w:val="24"/>
        </w:rPr>
        <w:t xml:space="preserve">Recommended Fitness for Duty Steps </w:t>
      </w:r>
    </w:p>
    <w:p w14:paraId="0E6C37E8" w14:textId="77777777" w:rsidR="0077789F" w:rsidRDefault="0077789F" w:rsidP="0077789F">
      <w:pPr>
        <w:jc w:val="both"/>
        <w:rPr>
          <w:sz w:val="24"/>
          <w:szCs w:val="24"/>
        </w:rPr>
      </w:pPr>
    </w:p>
    <w:p w14:paraId="47765038" w14:textId="392E0760" w:rsidR="0077789F" w:rsidRDefault="0077789F" w:rsidP="0077789F">
      <w:pPr>
        <w:pStyle w:val="ListParagraph"/>
        <w:numPr>
          <w:ilvl w:val="0"/>
          <w:numId w:val="2"/>
        </w:numPr>
        <w:jc w:val="both"/>
        <w:rPr>
          <w:sz w:val="24"/>
          <w:szCs w:val="24"/>
        </w:rPr>
      </w:pPr>
      <w:r>
        <w:rPr>
          <w:sz w:val="24"/>
          <w:szCs w:val="24"/>
        </w:rPr>
        <w:t xml:space="preserve"> Refer to the “Fitness for Duty Provider” list.  Schedule an appointment. </w:t>
      </w:r>
    </w:p>
    <w:p w14:paraId="1E178F96" w14:textId="77777777" w:rsidR="0077789F" w:rsidRDefault="0077789F" w:rsidP="0077789F">
      <w:pPr>
        <w:pStyle w:val="ListParagraph"/>
        <w:jc w:val="both"/>
        <w:rPr>
          <w:sz w:val="24"/>
          <w:szCs w:val="24"/>
        </w:rPr>
      </w:pPr>
    </w:p>
    <w:p w14:paraId="1823EA94" w14:textId="23EC0AE3" w:rsidR="0077789F" w:rsidRDefault="0077789F" w:rsidP="0077789F">
      <w:pPr>
        <w:pStyle w:val="ListParagraph"/>
        <w:numPr>
          <w:ilvl w:val="0"/>
          <w:numId w:val="2"/>
        </w:numPr>
        <w:jc w:val="both"/>
        <w:rPr>
          <w:sz w:val="24"/>
          <w:szCs w:val="24"/>
        </w:rPr>
      </w:pPr>
      <w:r>
        <w:rPr>
          <w:sz w:val="24"/>
          <w:szCs w:val="24"/>
        </w:rPr>
        <w:t xml:space="preserve">Schedule a meeting with the employee to advise them of the appointment, date, and time.   At this meeting if there are concerns regarding the employee’s ability to work, you can put them on paid administrative leave until you get the results of the evaluation(s).  </w:t>
      </w:r>
    </w:p>
    <w:p w14:paraId="6973F0D4" w14:textId="77777777" w:rsidR="0077789F" w:rsidRDefault="0077789F" w:rsidP="0077789F">
      <w:pPr>
        <w:pStyle w:val="ListParagraph"/>
        <w:jc w:val="both"/>
        <w:rPr>
          <w:sz w:val="24"/>
          <w:szCs w:val="24"/>
        </w:rPr>
      </w:pPr>
    </w:p>
    <w:p w14:paraId="6015A833" w14:textId="08EC39D9" w:rsidR="0077789F" w:rsidRDefault="0077789F" w:rsidP="0077789F">
      <w:pPr>
        <w:pStyle w:val="ListParagraph"/>
        <w:numPr>
          <w:ilvl w:val="0"/>
          <w:numId w:val="2"/>
        </w:numPr>
        <w:jc w:val="both"/>
        <w:rPr>
          <w:sz w:val="24"/>
          <w:szCs w:val="24"/>
        </w:rPr>
      </w:pPr>
      <w:r>
        <w:rPr>
          <w:sz w:val="24"/>
          <w:szCs w:val="24"/>
        </w:rPr>
        <w:t xml:space="preserve">Compose your letter to the doctor.  Refer to “Fitness for Duty Provider Referral Letter” template.  With your letter to the doctor also include the following forms form the website: </w:t>
      </w:r>
    </w:p>
    <w:p w14:paraId="6C569306" w14:textId="4A5AE360" w:rsidR="0077789F" w:rsidRDefault="0077789F" w:rsidP="0077789F">
      <w:pPr>
        <w:pStyle w:val="ListParagraph"/>
        <w:numPr>
          <w:ilvl w:val="1"/>
          <w:numId w:val="2"/>
        </w:numPr>
        <w:jc w:val="both"/>
        <w:rPr>
          <w:sz w:val="24"/>
          <w:szCs w:val="24"/>
        </w:rPr>
      </w:pPr>
      <w:r>
        <w:rPr>
          <w:sz w:val="24"/>
          <w:szCs w:val="24"/>
        </w:rPr>
        <w:t xml:space="preserve">Fitness for Duty Certification </w:t>
      </w:r>
    </w:p>
    <w:p w14:paraId="56CB8672" w14:textId="5859C09A" w:rsidR="0077789F" w:rsidRDefault="0077789F" w:rsidP="0077789F">
      <w:pPr>
        <w:pStyle w:val="ListParagraph"/>
        <w:numPr>
          <w:ilvl w:val="1"/>
          <w:numId w:val="2"/>
        </w:numPr>
        <w:jc w:val="both"/>
        <w:rPr>
          <w:sz w:val="24"/>
          <w:szCs w:val="24"/>
        </w:rPr>
      </w:pPr>
      <w:r>
        <w:rPr>
          <w:sz w:val="24"/>
          <w:szCs w:val="24"/>
        </w:rPr>
        <w:t xml:space="preserve">Fitness for Duty Med Authorization </w:t>
      </w:r>
    </w:p>
    <w:p w14:paraId="5DF64FAC" w14:textId="77777777" w:rsidR="0077789F" w:rsidRDefault="0077789F" w:rsidP="0077789F">
      <w:pPr>
        <w:pStyle w:val="ListParagraph"/>
        <w:jc w:val="both"/>
        <w:rPr>
          <w:sz w:val="24"/>
          <w:szCs w:val="24"/>
        </w:rPr>
      </w:pPr>
    </w:p>
    <w:p w14:paraId="5A2F78A5" w14:textId="4A8F41C9" w:rsidR="0077789F" w:rsidRDefault="0077789F" w:rsidP="0077789F">
      <w:pPr>
        <w:pStyle w:val="ListParagraph"/>
        <w:numPr>
          <w:ilvl w:val="0"/>
          <w:numId w:val="2"/>
        </w:numPr>
        <w:jc w:val="both"/>
        <w:rPr>
          <w:sz w:val="24"/>
          <w:szCs w:val="24"/>
        </w:rPr>
      </w:pPr>
      <w:r>
        <w:rPr>
          <w:sz w:val="24"/>
          <w:szCs w:val="24"/>
        </w:rPr>
        <w:t xml:space="preserve">Once the evaluation has been completed and the doctor has completed the “Fitness for Duty Certification”, the doctor should note whether the employee is released back to work at full duties or possibly modified duty with restrictions.   If restrictions have been placed on the employee, an Interactive Process meeting should take place to determine if you are able to reasonably accommodate.  </w:t>
      </w:r>
    </w:p>
    <w:p w14:paraId="697D940B" w14:textId="2C114C45" w:rsidR="0077789F" w:rsidRDefault="0077789F" w:rsidP="0077789F">
      <w:pPr>
        <w:jc w:val="both"/>
        <w:rPr>
          <w:sz w:val="24"/>
          <w:szCs w:val="24"/>
        </w:rPr>
      </w:pPr>
      <w:r>
        <w:rPr>
          <w:sz w:val="24"/>
          <w:szCs w:val="24"/>
        </w:rPr>
        <w:t xml:space="preserve">If at any time you have questions whether a Fitness for Duty evaluation is necessary, please contact: </w:t>
      </w:r>
    </w:p>
    <w:p w14:paraId="728FDE70" w14:textId="77777777" w:rsidR="0077789F" w:rsidRDefault="0077789F" w:rsidP="0077789F">
      <w:pPr>
        <w:jc w:val="both"/>
        <w:rPr>
          <w:sz w:val="24"/>
          <w:szCs w:val="24"/>
        </w:rPr>
      </w:pPr>
    </w:p>
    <w:p w14:paraId="2C35B675" w14:textId="1EB5EF9A" w:rsidR="0077789F" w:rsidRDefault="0077789F" w:rsidP="0077789F">
      <w:pPr>
        <w:jc w:val="center"/>
        <w:rPr>
          <w:sz w:val="24"/>
          <w:szCs w:val="24"/>
        </w:rPr>
      </w:pPr>
      <w:r>
        <w:rPr>
          <w:sz w:val="24"/>
          <w:szCs w:val="24"/>
        </w:rPr>
        <w:t>Kelly Cook, CSMS, CPDM, CEAS</w:t>
      </w:r>
    </w:p>
    <w:p w14:paraId="0AC31B6E" w14:textId="596964CC" w:rsidR="0077789F" w:rsidRDefault="0077789F" w:rsidP="0077789F">
      <w:pPr>
        <w:jc w:val="center"/>
        <w:rPr>
          <w:sz w:val="24"/>
          <w:szCs w:val="24"/>
        </w:rPr>
      </w:pPr>
      <w:r>
        <w:rPr>
          <w:sz w:val="24"/>
          <w:szCs w:val="24"/>
        </w:rPr>
        <w:t>EHS Program Supervisor</w:t>
      </w:r>
    </w:p>
    <w:p w14:paraId="0B2D364A" w14:textId="5EAF1782" w:rsidR="0077789F" w:rsidRDefault="0077789F" w:rsidP="0077789F">
      <w:pPr>
        <w:jc w:val="center"/>
        <w:rPr>
          <w:sz w:val="24"/>
          <w:szCs w:val="24"/>
        </w:rPr>
      </w:pPr>
      <w:r>
        <w:rPr>
          <w:sz w:val="24"/>
          <w:szCs w:val="24"/>
        </w:rPr>
        <w:t>(707) 836 0779 X108</w:t>
      </w:r>
    </w:p>
    <w:p w14:paraId="0972903C" w14:textId="47CB16B1" w:rsidR="0077789F" w:rsidRDefault="00000000" w:rsidP="0077789F">
      <w:pPr>
        <w:jc w:val="center"/>
        <w:rPr>
          <w:sz w:val="24"/>
          <w:szCs w:val="24"/>
        </w:rPr>
      </w:pPr>
      <w:hyperlink r:id="rId5" w:history="1">
        <w:r w:rsidR="0077789F" w:rsidRPr="00567B2C">
          <w:rPr>
            <w:rStyle w:val="Hyperlink"/>
            <w:sz w:val="24"/>
            <w:szCs w:val="24"/>
          </w:rPr>
          <w:t>kcook@resig.org</w:t>
        </w:r>
      </w:hyperlink>
    </w:p>
    <w:p w14:paraId="7DFFFB40" w14:textId="77777777" w:rsidR="0077789F" w:rsidRPr="0077789F" w:rsidRDefault="0077789F" w:rsidP="0077789F">
      <w:pPr>
        <w:jc w:val="both"/>
        <w:rPr>
          <w:sz w:val="24"/>
          <w:szCs w:val="24"/>
        </w:rPr>
      </w:pPr>
    </w:p>
    <w:p w14:paraId="5A827A3C" w14:textId="77777777" w:rsidR="0077789F" w:rsidRDefault="0077789F" w:rsidP="0077789F">
      <w:pPr>
        <w:jc w:val="both"/>
        <w:rPr>
          <w:sz w:val="24"/>
          <w:szCs w:val="24"/>
        </w:rPr>
      </w:pPr>
    </w:p>
    <w:p w14:paraId="1D3CA477" w14:textId="77777777" w:rsidR="0077789F" w:rsidRDefault="0077789F" w:rsidP="0077789F">
      <w:pPr>
        <w:jc w:val="both"/>
        <w:rPr>
          <w:sz w:val="24"/>
          <w:szCs w:val="24"/>
        </w:rPr>
      </w:pPr>
    </w:p>
    <w:p w14:paraId="7C91051E" w14:textId="77777777" w:rsidR="002666F8" w:rsidRDefault="002666F8" w:rsidP="0077789F">
      <w:pPr>
        <w:jc w:val="both"/>
        <w:rPr>
          <w:sz w:val="24"/>
          <w:szCs w:val="24"/>
        </w:rPr>
      </w:pPr>
    </w:p>
    <w:p w14:paraId="2F4BBEBD" w14:textId="77777777" w:rsidR="002666F8" w:rsidRDefault="002666F8" w:rsidP="0077789F">
      <w:pPr>
        <w:jc w:val="both"/>
        <w:rPr>
          <w:sz w:val="24"/>
          <w:szCs w:val="24"/>
        </w:rPr>
      </w:pPr>
    </w:p>
    <w:p w14:paraId="6227EF07" w14:textId="77777777" w:rsidR="002666F8" w:rsidRDefault="002666F8" w:rsidP="0077789F">
      <w:pPr>
        <w:jc w:val="both"/>
        <w:rPr>
          <w:sz w:val="24"/>
          <w:szCs w:val="24"/>
        </w:rPr>
      </w:pPr>
    </w:p>
    <w:p w14:paraId="6091EE4F" w14:textId="77777777" w:rsidR="002666F8" w:rsidRDefault="002666F8" w:rsidP="0077789F">
      <w:pPr>
        <w:jc w:val="both"/>
        <w:rPr>
          <w:sz w:val="24"/>
          <w:szCs w:val="24"/>
        </w:rPr>
      </w:pPr>
    </w:p>
    <w:p w14:paraId="4315392B" w14:textId="77777777" w:rsidR="002666F8" w:rsidRDefault="002666F8" w:rsidP="0077789F">
      <w:pPr>
        <w:jc w:val="both"/>
        <w:rPr>
          <w:sz w:val="24"/>
          <w:szCs w:val="24"/>
        </w:rPr>
      </w:pPr>
    </w:p>
    <w:p w14:paraId="2D8B4ED3" w14:textId="77777777" w:rsidR="002666F8" w:rsidRDefault="002666F8" w:rsidP="0077789F">
      <w:pPr>
        <w:jc w:val="both"/>
        <w:rPr>
          <w:sz w:val="24"/>
          <w:szCs w:val="24"/>
        </w:rPr>
      </w:pPr>
    </w:p>
    <w:p w14:paraId="5CDD59AF" w14:textId="77777777" w:rsidR="002666F8" w:rsidRDefault="002666F8" w:rsidP="0077789F">
      <w:pPr>
        <w:jc w:val="both"/>
        <w:rPr>
          <w:sz w:val="24"/>
          <w:szCs w:val="24"/>
        </w:rPr>
      </w:pPr>
    </w:p>
    <w:p w14:paraId="00F3D86F" w14:textId="77777777" w:rsidR="002666F8" w:rsidRDefault="002666F8" w:rsidP="0077789F">
      <w:pPr>
        <w:jc w:val="both"/>
        <w:rPr>
          <w:sz w:val="24"/>
          <w:szCs w:val="24"/>
        </w:rPr>
      </w:pPr>
    </w:p>
    <w:p w14:paraId="3CA32B8D" w14:textId="77777777" w:rsidR="002666F8" w:rsidRDefault="002666F8" w:rsidP="0077789F">
      <w:pPr>
        <w:jc w:val="both"/>
        <w:rPr>
          <w:sz w:val="24"/>
          <w:szCs w:val="24"/>
        </w:rPr>
      </w:pPr>
    </w:p>
    <w:p w14:paraId="54BD9671" w14:textId="30A8076C" w:rsidR="002666F8" w:rsidRPr="002666F8" w:rsidRDefault="002666F8" w:rsidP="0077789F">
      <w:pPr>
        <w:jc w:val="both"/>
        <w:rPr>
          <w:sz w:val="24"/>
          <w:szCs w:val="24"/>
        </w:rPr>
      </w:pPr>
      <w:r w:rsidRPr="002666F8">
        <w:rPr>
          <w:sz w:val="24"/>
          <w:szCs w:val="24"/>
        </w:rPr>
        <w:t xml:space="preserve"> </w:t>
      </w:r>
    </w:p>
    <w:sectPr w:rsidR="002666F8" w:rsidRPr="00266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1527B"/>
    <w:multiLevelType w:val="hybridMultilevel"/>
    <w:tmpl w:val="97564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5475D"/>
    <w:multiLevelType w:val="hybridMultilevel"/>
    <w:tmpl w:val="F5348C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3358730">
    <w:abstractNumId w:val="0"/>
  </w:num>
  <w:num w:numId="2" w16cid:durableId="131918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58"/>
    <w:rsid w:val="002557BC"/>
    <w:rsid w:val="002666F8"/>
    <w:rsid w:val="003C0D92"/>
    <w:rsid w:val="00466083"/>
    <w:rsid w:val="0077789F"/>
    <w:rsid w:val="009B2520"/>
    <w:rsid w:val="009E4CDC"/>
    <w:rsid w:val="00A841D2"/>
    <w:rsid w:val="00E02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8082"/>
  <w15:chartTrackingRefBased/>
  <w15:docId w15:val="{FF0D40CE-C028-4D40-BBE0-775C0ADE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E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E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E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E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E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E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E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E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E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E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E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E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E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E58"/>
    <w:rPr>
      <w:rFonts w:eastAsiaTheme="majorEastAsia" w:cstheme="majorBidi"/>
      <w:color w:val="272727" w:themeColor="text1" w:themeTint="D8"/>
    </w:rPr>
  </w:style>
  <w:style w:type="paragraph" w:styleId="Title">
    <w:name w:val="Title"/>
    <w:basedOn w:val="Normal"/>
    <w:next w:val="Normal"/>
    <w:link w:val="TitleChar"/>
    <w:uiPriority w:val="10"/>
    <w:qFormat/>
    <w:rsid w:val="00E02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E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E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E58"/>
    <w:pPr>
      <w:spacing w:before="160"/>
      <w:jc w:val="center"/>
    </w:pPr>
    <w:rPr>
      <w:i/>
      <w:iCs/>
      <w:color w:val="404040" w:themeColor="text1" w:themeTint="BF"/>
    </w:rPr>
  </w:style>
  <w:style w:type="character" w:customStyle="1" w:styleId="QuoteChar">
    <w:name w:val="Quote Char"/>
    <w:basedOn w:val="DefaultParagraphFont"/>
    <w:link w:val="Quote"/>
    <w:uiPriority w:val="29"/>
    <w:rsid w:val="00E02E58"/>
    <w:rPr>
      <w:i/>
      <w:iCs/>
      <w:color w:val="404040" w:themeColor="text1" w:themeTint="BF"/>
    </w:rPr>
  </w:style>
  <w:style w:type="paragraph" w:styleId="ListParagraph">
    <w:name w:val="List Paragraph"/>
    <w:basedOn w:val="Normal"/>
    <w:uiPriority w:val="34"/>
    <w:qFormat/>
    <w:rsid w:val="00E02E58"/>
    <w:pPr>
      <w:ind w:left="720"/>
      <w:contextualSpacing/>
    </w:pPr>
  </w:style>
  <w:style w:type="character" w:styleId="IntenseEmphasis">
    <w:name w:val="Intense Emphasis"/>
    <w:basedOn w:val="DefaultParagraphFont"/>
    <w:uiPriority w:val="21"/>
    <w:qFormat/>
    <w:rsid w:val="00E02E58"/>
    <w:rPr>
      <w:i/>
      <w:iCs/>
      <w:color w:val="0F4761" w:themeColor="accent1" w:themeShade="BF"/>
    </w:rPr>
  </w:style>
  <w:style w:type="paragraph" w:styleId="IntenseQuote">
    <w:name w:val="Intense Quote"/>
    <w:basedOn w:val="Normal"/>
    <w:next w:val="Normal"/>
    <w:link w:val="IntenseQuoteChar"/>
    <w:uiPriority w:val="30"/>
    <w:qFormat/>
    <w:rsid w:val="00E02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E58"/>
    <w:rPr>
      <w:i/>
      <w:iCs/>
      <w:color w:val="0F4761" w:themeColor="accent1" w:themeShade="BF"/>
    </w:rPr>
  </w:style>
  <w:style w:type="character" w:styleId="IntenseReference">
    <w:name w:val="Intense Reference"/>
    <w:basedOn w:val="DefaultParagraphFont"/>
    <w:uiPriority w:val="32"/>
    <w:qFormat/>
    <w:rsid w:val="00E02E58"/>
    <w:rPr>
      <w:b/>
      <w:bCs/>
      <w:smallCaps/>
      <w:color w:val="0F4761" w:themeColor="accent1" w:themeShade="BF"/>
      <w:spacing w:val="5"/>
    </w:rPr>
  </w:style>
  <w:style w:type="character" w:styleId="Hyperlink">
    <w:name w:val="Hyperlink"/>
    <w:basedOn w:val="DefaultParagraphFont"/>
    <w:uiPriority w:val="99"/>
    <w:unhideWhenUsed/>
    <w:rsid w:val="0077789F"/>
    <w:rPr>
      <w:color w:val="467886" w:themeColor="hyperlink"/>
      <w:u w:val="single"/>
    </w:rPr>
  </w:style>
  <w:style w:type="character" w:styleId="UnresolvedMention">
    <w:name w:val="Unresolved Mention"/>
    <w:basedOn w:val="DefaultParagraphFont"/>
    <w:uiPriority w:val="99"/>
    <w:semiHidden/>
    <w:unhideWhenUsed/>
    <w:rsid w:val="00777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cook@resi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 Cook</dc:creator>
  <cp:keywords/>
  <dc:description/>
  <cp:lastModifiedBy>Kelly L. Cook</cp:lastModifiedBy>
  <cp:revision>2</cp:revision>
  <cp:lastPrinted>2024-07-23T22:12:00Z</cp:lastPrinted>
  <dcterms:created xsi:type="dcterms:W3CDTF">2024-07-30T17:40:00Z</dcterms:created>
  <dcterms:modified xsi:type="dcterms:W3CDTF">2024-07-30T17:40:00Z</dcterms:modified>
</cp:coreProperties>
</file>