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FFBA" w14:textId="7BCCBEA1" w:rsidR="00BC4617" w:rsidRDefault="004E37B1">
      <w:r w:rsidRPr="00E63B9A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0D19E3A" wp14:editId="2BD3EA35">
            <wp:simplePos x="0" y="0"/>
            <wp:positionH relativeFrom="margin">
              <wp:posOffset>-85725</wp:posOffset>
            </wp:positionH>
            <wp:positionV relativeFrom="paragraph">
              <wp:posOffset>238125</wp:posOffset>
            </wp:positionV>
            <wp:extent cx="1499616" cy="1499616"/>
            <wp:effectExtent l="0" t="0" r="5715" b="5715"/>
            <wp:wrapNone/>
            <wp:docPr id="1" name="Picture 1" descr="C:\Users\pbaumunk\AppData\Local\Microsoft\Windows\Temporary Internet Files\Content.Outlook\BR6H0L43\CC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aumunk\AppData\Local\Microsoft\Windows\Temporary Internet Files\Content.Outlook\BR6H0L43\CCA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6E518C" wp14:editId="5FDE92C5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324475" cy="169545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12968" w14:textId="5CEDA562" w:rsidR="004E37B1" w:rsidRDefault="004E37B1">
                            <w:r>
                              <w:t>CCAP is a partnership of K-12 public schools pools, representing;</w:t>
                            </w:r>
                          </w:p>
                          <w:p w14:paraId="23EE95DE" w14:textId="6D9F426C" w:rsidR="004E37B1" w:rsidRDefault="004E37B1" w:rsidP="004E37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133 school districts and County Offices of Education across</w:t>
                            </w:r>
                          </w:p>
                          <w:p w14:paraId="11C424F2" w14:textId="4AE438B6" w:rsidR="004E37B1" w:rsidRDefault="004E37B1" w:rsidP="004E37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12 counties,</w:t>
                            </w:r>
                          </w:p>
                          <w:p w14:paraId="30607A5B" w14:textId="63B77910" w:rsidR="004E37B1" w:rsidRDefault="004E37B1" w:rsidP="004E37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57,000 school employees, and over</w:t>
                            </w:r>
                          </w:p>
                          <w:p w14:paraId="10AC49EF" w14:textId="3B908283" w:rsidR="004E37B1" w:rsidRDefault="004E37B1" w:rsidP="004E37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500,000 school children,</w:t>
                            </w:r>
                          </w:p>
                          <w:p w14:paraId="2802EFA9" w14:textId="7AF85EE4" w:rsidR="004E37B1" w:rsidRDefault="004E37B1" w:rsidP="004E37B1">
                            <w:r>
                              <w:t>Together, our goal is to educate K-12 school son how to recognize and prevent child sexual abuse and, ultimately, to protect kids.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E5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05pt;margin-top:15pt;width:419.25pt;height:13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" strokeweight="4.5pt">
                <v:textbox>
                  <w:txbxContent>
                    <w:p w14:paraId="4A012968" w14:textId="5CEDA562" w:rsidR="004E37B1" w:rsidRDefault="004E37B1">
                      <w:r>
                        <w:t>CCAP is a partnership of K-12 public schools pools, representing;</w:t>
                      </w:r>
                    </w:p>
                    <w:p w14:paraId="23EE95DE" w14:textId="6D9F426C" w:rsidR="004E37B1" w:rsidRDefault="004E37B1" w:rsidP="004E37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133 school districts and County Offices of Education across</w:t>
                      </w:r>
                    </w:p>
                    <w:p w14:paraId="11C424F2" w14:textId="4AE438B6" w:rsidR="004E37B1" w:rsidRDefault="004E37B1" w:rsidP="004E37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12 counties,</w:t>
                      </w:r>
                    </w:p>
                    <w:p w14:paraId="30607A5B" w14:textId="63B77910" w:rsidR="004E37B1" w:rsidRDefault="004E37B1" w:rsidP="004E37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57,000 school employees, and over</w:t>
                      </w:r>
                    </w:p>
                    <w:p w14:paraId="10AC49EF" w14:textId="3B908283" w:rsidR="004E37B1" w:rsidRDefault="004E37B1" w:rsidP="004E37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500,000 school children,</w:t>
                      </w:r>
                    </w:p>
                    <w:p w14:paraId="2802EFA9" w14:textId="7AF85EE4" w:rsidR="004E37B1" w:rsidRDefault="004E37B1" w:rsidP="004E37B1">
                      <w:r>
                        <w:t>Together, our goal is to educate K-12 school son how to recognize and prevent child sexual abuse and, ultimately, to protect kids.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BA1C59" w14:textId="771352D5" w:rsidR="004E37B1" w:rsidRPr="004E37B1" w:rsidRDefault="004E37B1" w:rsidP="004E37B1"/>
    <w:p w14:paraId="3B5DBD60" w14:textId="1636D96E" w:rsidR="004E37B1" w:rsidRPr="004E37B1" w:rsidRDefault="004E37B1" w:rsidP="004E37B1"/>
    <w:p w14:paraId="5140045C" w14:textId="1FF42E7E" w:rsidR="004E37B1" w:rsidRPr="004E37B1" w:rsidRDefault="004E37B1" w:rsidP="004E37B1"/>
    <w:p w14:paraId="75A84EEB" w14:textId="54E88195" w:rsidR="004E37B1" w:rsidRPr="004E37B1" w:rsidRDefault="004E37B1" w:rsidP="004E37B1"/>
    <w:p w14:paraId="76C026D7" w14:textId="449EEDA8" w:rsidR="004E37B1" w:rsidRPr="004E37B1" w:rsidRDefault="004E37B1" w:rsidP="004E37B1">
      <w:bookmarkStart w:id="0" w:name="_GoBack"/>
    </w:p>
    <w:bookmarkEnd w:id="0"/>
    <w:p w14:paraId="20102112" w14:textId="25D17D9E" w:rsidR="004E37B1" w:rsidRDefault="004E37B1" w:rsidP="004E37B1"/>
    <w:p w14:paraId="5B465BA6" w14:textId="77777777" w:rsidR="00CB55DD" w:rsidRDefault="00CB55DD" w:rsidP="004E37B1"/>
    <w:p w14:paraId="51B4A4A3" w14:textId="473ED329" w:rsidR="004E37B1" w:rsidRPr="00960424" w:rsidRDefault="004E37B1" w:rsidP="004E37B1">
      <w:pPr>
        <w:rPr>
          <w:sz w:val="24"/>
          <w:szCs w:val="24"/>
        </w:rPr>
      </w:pPr>
      <w:r w:rsidRPr="00960424">
        <w:rPr>
          <w:sz w:val="24"/>
          <w:szCs w:val="24"/>
        </w:rPr>
        <w:t xml:space="preserve">The </w:t>
      </w:r>
      <w:proofErr w:type="spellStart"/>
      <w:r w:rsidRPr="00C57D24">
        <w:rPr>
          <w:i/>
          <w:color w:val="089BA2" w:themeColor="accent3" w:themeShade="BF"/>
          <w:sz w:val="24"/>
          <w:szCs w:val="24"/>
        </w:rPr>
        <w:t>we</w:t>
      </w:r>
      <w:r w:rsidRPr="00C57D24">
        <w:rPr>
          <w:rFonts w:ascii="Arial Black" w:hAnsi="Arial Black"/>
          <w:color w:val="05676C" w:themeColor="accent3" w:themeShade="80"/>
          <w:sz w:val="24"/>
          <w:szCs w:val="24"/>
        </w:rPr>
        <w:t>CARE</w:t>
      </w:r>
      <w:proofErr w:type="spellEnd"/>
      <w:r w:rsidRPr="00960424">
        <w:rPr>
          <w:sz w:val="24"/>
          <w:szCs w:val="24"/>
        </w:rPr>
        <w:t xml:space="preserve"> program is a comprehensive toolkit, developed </w:t>
      </w:r>
      <w:r w:rsidR="00A81E73">
        <w:rPr>
          <w:sz w:val="24"/>
          <w:szCs w:val="24"/>
        </w:rPr>
        <w:t>b</w:t>
      </w:r>
      <w:r w:rsidRPr="00960424">
        <w:rPr>
          <w:sz w:val="24"/>
          <w:szCs w:val="24"/>
        </w:rPr>
        <w:t xml:space="preserve">y CCAP, the Collaboration for Child Abuse Prevention, in conjunction with Diane </w:t>
      </w:r>
      <w:proofErr w:type="spellStart"/>
      <w:r w:rsidRPr="00960424">
        <w:rPr>
          <w:sz w:val="24"/>
          <w:szCs w:val="24"/>
        </w:rPr>
        <w:t>Cranley</w:t>
      </w:r>
      <w:proofErr w:type="spellEnd"/>
      <w:r w:rsidRPr="00960424">
        <w:rPr>
          <w:sz w:val="24"/>
          <w:szCs w:val="24"/>
        </w:rPr>
        <w:t>, a renowned expert in sexual abuse prevention.  The toolkit includes:</w:t>
      </w:r>
    </w:p>
    <w:p w14:paraId="70BDF823" w14:textId="51E8D1B6" w:rsidR="004E37B1" w:rsidRPr="00960424" w:rsidRDefault="004E37B1" w:rsidP="00CB5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424">
        <w:rPr>
          <w:sz w:val="24"/>
          <w:szCs w:val="24"/>
        </w:rPr>
        <w:t>An Education al Video Series aimed at helping school staff identify and report suspicious behaviors</w:t>
      </w:r>
      <w:r w:rsidR="003B353F" w:rsidRPr="00960424">
        <w:rPr>
          <w:sz w:val="24"/>
          <w:szCs w:val="24"/>
        </w:rPr>
        <w:t xml:space="preserve"> that may indicate adult sexual misconduct or child sexual abuse and develop best practices for the prevention of adult sexual misconduct and child sexual abuse in schools.</w:t>
      </w:r>
    </w:p>
    <w:p w14:paraId="6BC226A7" w14:textId="77777777" w:rsidR="003B353F" w:rsidRPr="00960424" w:rsidRDefault="003B353F" w:rsidP="003B353F">
      <w:pPr>
        <w:pStyle w:val="ListParagraph"/>
        <w:rPr>
          <w:sz w:val="24"/>
          <w:szCs w:val="24"/>
        </w:rPr>
      </w:pPr>
    </w:p>
    <w:p w14:paraId="6AB26B21" w14:textId="1E6F0128" w:rsidR="003B353F" w:rsidRPr="00960424" w:rsidRDefault="003B353F" w:rsidP="00CB5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424">
        <w:rPr>
          <w:sz w:val="24"/>
          <w:szCs w:val="24"/>
        </w:rPr>
        <w:t>A series of Discussion Guides to accompany each module of the Video Series and help facilitate discussions between staff about preventing child sexual abuse.</w:t>
      </w:r>
    </w:p>
    <w:p w14:paraId="238C215E" w14:textId="77777777" w:rsidR="003B353F" w:rsidRPr="00960424" w:rsidRDefault="003B353F" w:rsidP="003B353F">
      <w:pPr>
        <w:pStyle w:val="ListParagraph"/>
        <w:rPr>
          <w:sz w:val="24"/>
          <w:szCs w:val="24"/>
        </w:rPr>
      </w:pPr>
    </w:p>
    <w:p w14:paraId="0C564AA5" w14:textId="4FF5724D" w:rsidR="003B353F" w:rsidRPr="00960424" w:rsidRDefault="003B353F" w:rsidP="00CB5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424">
        <w:rPr>
          <w:sz w:val="24"/>
          <w:szCs w:val="24"/>
        </w:rPr>
        <w:t>Board Policy and Administrative Regulation recommendations to help school administrators develop policies to protect students from sexual abuse. (coming soon)</w:t>
      </w:r>
    </w:p>
    <w:p w14:paraId="162EDA07" w14:textId="77777777" w:rsidR="003B353F" w:rsidRPr="00960424" w:rsidRDefault="003B353F" w:rsidP="003B353F">
      <w:pPr>
        <w:pStyle w:val="ListParagraph"/>
        <w:rPr>
          <w:sz w:val="24"/>
          <w:szCs w:val="24"/>
        </w:rPr>
      </w:pPr>
    </w:p>
    <w:p w14:paraId="7C38C105" w14:textId="7F6C5148" w:rsidR="00CB55DD" w:rsidRPr="005C368E" w:rsidRDefault="003B353F" w:rsidP="003B35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424">
        <w:rPr>
          <w:sz w:val="24"/>
          <w:szCs w:val="24"/>
        </w:rPr>
        <w:t>Resources and Guidance for administrators, staff, parents and students.</w:t>
      </w:r>
    </w:p>
    <w:p w14:paraId="692E2840" w14:textId="79774511" w:rsidR="00CB55DD" w:rsidRDefault="005C368E" w:rsidP="003B353F">
      <w:r w:rsidRPr="000C383F">
        <w:rPr>
          <w:noProof/>
        </w:rPr>
        <w:drawing>
          <wp:anchor distT="0" distB="0" distL="114300" distR="114300" simplePos="0" relativeHeight="251662336" behindDoc="0" locked="0" layoutInCell="1" allowOverlap="1" wp14:anchorId="0903A29A" wp14:editId="637D50C6">
            <wp:simplePos x="0" y="0"/>
            <wp:positionH relativeFrom="column">
              <wp:posOffset>95250</wp:posOffset>
            </wp:positionH>
            <wp:positionV relativeFrom="paragraph">
              <wp:posOffset>419735</wp:posOffset>
            </wp:positionV>
            <wp:extent cx="2990850" cy="1180793"/>
            <wp:effectExtent l="0" t="0" r="0" b="635"/>
            <wp:wrapThrough wrapText="bothSides">
              <wp:wrapPolygon edited="0">
                <wp:start x="0" y="0"/>
                <wp:lineTo x="0" y="21263"/>
                <wp:lineTo x="21462" y="21263"/>
                <wp:lineTo x="21462" y="0"/>
                <wp:lineTo x="0" y="0"/>
              </wp:wrapPolygon>
            </wp:wrapThrough>
            <wp:docPr id="3" name="Picture 3" descr="Description: 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- 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99A14A" w14:textId="3CCD61CF" w:rsidR="00CB55DD" w:rsidRDefault="00CB55DD" w:rsidP="003B353F"/>
    <w:p w14:paraId="2E2E1871" w14:textId="4DBAD356" w:rsidR="00CB55DD" w:rsidRDefault="00960424" w:rsidP="00960424">
      <w:pPr>
        <w:ind w:left="-288"/>
        <w:rPr>
          <w:sz w:val="24"/>
          <w:szCs w:val="24"/>
        </w:rPr>
      </w:pPr>
      <w:r w:rsidRPr="00960424">
        <w:rPr>
          <w:b/>
          <w:sz w:val="24"/>
          <w:szCs w:val="24"/>
          <w:u w:val="single"/>
        </w:rPr>
        <w:t>Educational Video Series:</w:t>
      </w:r>
    </w:p>
    <w:p w14:paraId="134A7BB0" w14:textId="4E3E34F5" w:rsid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Module 1:  Introduction and Overview</w:t>
      </w:r>
    </w:p>
    <w:p w14:paraId="0253FF83" w14:textId="438275AB" w:rsid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Module 2:  Grooming</w:t>
      </w:r>
    </w:p>
    <w:p w14:paraId="7EE8F2B7" w14:textId="1D6BF812" w:rsid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Module 3:  On-Site Isolation Boundaries</w:t>
      </w:r>
    </w:p>
    <w:p w14:paraId="52187EEA" w14:textId="44BB06E6" w:rsid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Module 4:  On-Site Behavioral Boundaries</w:t>
      </w:r>
    </w:p>
    <w:p w14:paraId="560473A1" w14:textId="54D69C7A" w:rsid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Module 5:  Off-Site Behavioral Boundaries</w:t>
      </w:r>
    </w:p>
    <w:p w14:paraId="483DCDA2" w14:textId="663D4838" w:rsid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Module 6:  Off- Hours Behavioral Boundaries</w:t>
      </w:r>
    </w:p>
    <w:p w14:paraId="580878D7" w14:textId="2A2B733F" w:rsid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Module 7:  Electronic Social Media Boundaries</w:t>
      </w:r>
    </w:p>
    <w:p w14:paraId="5FF0FC98" w14:textId="0B14B028" w:rsid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Module 8:  Gift Boundaries</w:t>
      </w:r>
    </w:p>
    <w:p w14:paraId="33B6A4B5" w14:textId="24884D33" w:rsid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Module 9:  Student-to-Student Boundaries</w:t>
      </w:r>
    </w:p>
    <w:p w14:paraId="1C0673D9" w14:textId="77777777" w:rsidR="00960424" w:rsidRPr="005C368E" w:rsidRDefault="00960424" w:rsidP="00960424">
      <w:pPr>
        <w:ind w:left="-288"/>
        <w:rPr>
          <w:sz w:val="16"/>
          <w:szCs w:val="16"/>
        </w:rPr>
      </w:pPr>
    </w:p>
    <w:p w14:paraId="1732FCC3" w14:textId="5FD7DB23" w:rsid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All Modules are tailored to the appropriate school level for elementary, middle and high school.</w:t>
      </w:r>
    </w:p>
    <w:p w14:paraId="76FEAC59" w14:textId="2326BBFC" w:rsidR="00960424" w:rsidRPr="005C368E" w:rsidRDefault="00960424" w:rsidP="00960424">
      <w:pPr>
        <w:ind w:left="-288"/>
        <w:rPr>
          <w:sz w:val="16"/>
          <w:szCs w:val="16"/>
        </w:rPr>
      </w:pPr>
    </w:p>
    <w:p w14:paraId="20066A85" w14:textId="3E9708E6" w:rsid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RESIG is actively participating in the Best Practices Coalition working towards development and adoption of a statewide policy for Best Practices in Prevention.</w:t>
      </w:r>
    </w:p>
    <w:p w14:paraId="433D3AD1" w14:textId="1F0646E9" w:rsidR="00960424" w:rsidRPr="005C368E" w:rsidRDefault="00960424" w:rsidP="00960424">
      <w:pPr>
        <w:ind w:left="-288"/>
        <w:rPr>
          <w:sz w:val="16"/>
          <w:szCs w:val="16"/>
        </w:rPr>
      </w:pPr>
    </w:p>
    <w:p w14:paraId="4EDB0A19" w14:textId="6DA95DEC" w:rsidR="00960424" w:rsidRPr="00960424" w:rsidRDefault="00960424" w:rsidP="00960424">
      <w:pPr>
        <w:ind w:left="-288"/>
        <w:rPr>
          <w:sz w:val="24"/>
          <w:szCs w:val="24"/>
        </w:rPr>
      </w:pPr>
      <w:r>
        <w:rPr>
          <w:sz w:val="24"/>
          <w:szCs w:val="24"/>
        </w:rPr>
        <w:t>A variety of awareness materials will be sent to districts for all employees</w:t>
      </w:r>
      <w:r w:rsidR="005C368E">
        <w:rPr>
          <w:sz w:val="24"/>
          <w:szCs w:val="24"/>
        </w:rPr>
        <w:t xml:space="preserve"> via email, written and electronic newsletters and website pages.</w:t>
      </w:r>
    </w:p>
    <w:p w14:paraId="12FE17FA" w14:textId="0502FA08" w:rsidR="00CB55DD" w:rsidRDefault="004B7132" w:rsidP="003B353F">
      <w:r>
        <w:t xml:space="preserve"> </w:t>
      </w:r>
    </w:p>
    <w:p w14:paraId="308C6604" w14:textId="0629A102" w:rsidR="00CB55DD" w:rsidRPr="00CB55DD" w:rsidRDefault="005C368E" w:rsidP="005C368E">
      <w:pPr>
        <w:ind w:left="-144"/>
      </w:pPr>
      <w:r w:rsidRPr="00050860">
        <w:rPr>
          <w:b/>
          <w:noProof/>
        </w:rPr>
        <w:drawing>
          <wp:inline distT="0" distB="0" distL="0" distR="0" wp14:anchorId="0F0B8961" wp14:editId="20BFF832">
            <wp:extent cx="3200400" cy="731647"/>
            <wp:effectExtent l="0" t="0" r="0" b="0"/>
            <wp:docPr id="2" name="Picture 2" descr="C:\Users\pbaumunk\AppData\Local\Microsoft\Windows\Temporary Internet Files\Content.Outlook\BR6H0L43\weCARE logo(2)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aumunk\AppData\Local\Microsoft\Windows\Temporary Internet Files\Content.Outlook\BR6H0L43\weCARE logo(2)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3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5DD" w:rsidRPr="00CB55DD" w:rsidSect="004E37B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5471"/>
    <w:multiLevelType w:val="hybridMultilevel"/>
    <w:tmpl w:val="8F76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5F0"/>
    <w:multiLevelType w:val="hybridMultilevel"/>
    <w:tmpl w:val="07E4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707A"/>
    <w:multiLevelType w:val="hybridMultilevel"/>
    <w:tmpl w:val="9264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7"/>
    <w:rsid w:val="003B353F"/>
    <w:rsid w:val="004B7132"/>
    <w:rsid w:val="004E37B1"/>
    <w:rsid w:val="005C368E"/>
    <w:rsid w:val="00960424"/>
    <w:rsid w:val="00A81E73"/>
    <w:rsid w:val="00B11E3A"/>
    <w:rsid w:val="00BC4617"/>
    <w:rsid w:val="00C57D24"/>
    <w:rsid w:val="00C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6BE9"/>
  <w15:chartTrackingRefBased/>
  <w15:docId w15:val="{A08D57F8-91DA-4018-9C5B-A98A101D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E824-0C69-445C-8950-FFD9AE79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Baumunk</dc:creator>
  <cp:keywords/>
  <dc:description/>
  <cp:lastModifiedBy>Patty Baumunk</cp:lastModifiedBy>
  <cp:revision>2</cp:revision>
  <cp:lastPrinted>2019-04-26T20:40:00Z</cp:lastPrinted>
  <dcterms:created xsi:type="dcterms:W3CDTF">2019-04-26T20:44:00Z</dcterms:created>
  <dcterms:modified xsi:type="dcterms:W3CDTF">2019-04-26T20:44:00Z</dcterms:modified>
</cp:coreProperties>
</file>